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武汉商贸职业学院待改进课堂诊改表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学院（部）：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1"/>
        <w:gridCol w:w="2819"/>
        <w:gridCol w:w="1426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教师姓名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人事编码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7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教师性质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 xml:space="preserve">专  职      行政兼课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 xml:space="preserve">校外兼职    校外兼课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7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授课班级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督评时间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17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3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主客观原因分析：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80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改进措施：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99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改进情况：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 xml:space="preserve">     改进评分：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 xml:space="preserve">       学院（部）兼职督导：           年    月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备注：此表由待改进课堂教师填写后交由学院（部）分配至兼职督导员进行改进评价，评价结束后由学院（部）负责归档，不学校定期进行抽查。</w:t>
      </w:r>
    </w:p>
    <w:p>
      <w:pPr>
        <w:jc w:val="right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发展规划与质量管理处制表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54A5E"/>
    <w:rsid w:val="029B0FDB"/>
    <w:rsid w:val="13454A5E"/>
    <w:rsid w:val="5C787C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噵琺臫嘫</dc:creator>
  <cp:lastModifiedBy>噵琺臫嘫</cp:lastModifiedBy>
  <dcterms:modified xsi:type="dcterms:W3CDTF">2020-05-26T07:55:53Z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